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spacing w:line="480" w:lineRule="auto"/>
        <w:rPr>
          <w:rFonts w:ascii="Arial" w:hAnsi="Arial" w:cs="Arial"/>
          <w:b/>
          <w:sz w:val="28"/>
          <w:lang w:val="en-US"/>
        </w:rPr>
      </w:pPr>
      <w:bookmarkStart w:id="0" w:name="_GoBack"/>
      <w:r>
        <w:rPr>
          <w:rFonts w:ascii="Arial" w:hAnsi="Arial" w:cs="Arial"/>
          <w:b/>
          <w:sz w:val="28"/>
          <w:lang w:val="en-US"/>
        </w:rPr>
        <w:t>Supplementary Information</w:t>
      </w:r>
    </w:p>
    <w:p>
      <w:pPr>
        <w:spacing w:line="480" w:lineRule="auto"/>
        <w:rPr>
          <w:rFonts w:ascii="Arial" w:hAnsi="Arial" w:cs="Arial"/>
          <w:b/>
          <w:sz w:val="28"/>
          <w:lang w:val="en-US"/>
        </w:rPr>
      </w:pPr>
      <w:r>
        <w:rPr>
          <w:rFonts w:ascii="Arial" w:hAnsi="Arial" w:cs="Arial"/>
          <w:b/>
          <w:sz w:val="28"/>
          <w:lang w:val="en-US"/>
        </w:rPr>
        <w:t>Longitudinal profiles of dietary and microbial metabolites in formula- and breastfed infants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Nina Sillner</w:t>
      </w:r>
      <w:r>
        <w:rPr>
          <w:rFonts w:ascii="Arial" w:hAnsi="Arial" w:cs="Arial"/>
          <w:vertAlign w:val="superscript"/>
          <w:lang w:val="en-US"/>
        </w:rPr>
        <w:t>1</w:t>
      </w:r>
      <w:proofErr w:type="gramStart"/>
      <w:r>
        <w:rPr>
          <w:rFonts w:ascii="Arial" w:hAnsi="Arial" w:cs="Arial"/>
          <w:vertAlign w:val="superscript"/>
          <w:lang w:val="en-US"/>
        </w:rPr>
        <w:t>,2</w:t>
      </w:r>
      <w:proofErr w:type="gramEnd"/>
      <w:r>
        <w:rPr>
          <w:rFonts w:ascii="Arial" w:hAnsi="Arial" w:cs="Arial"/>
          <w:lang w:val="en-US"/>
        </w:rPr>
        <w:t xml:space="preserve">, </w:t>
      </w:r>
      <w:proofErr w:type="spellStart"/>
      <w:r>
        <w:rPr>
          <w:rFonts w:ascii="Arial" w:hAnsi="Arial" w:cs="Arial"/>
          <w:lang w:val="en-US"/>
        </w:rPr>
        <w:t>Alesia</w:t>
      </w:r>
      <w:proofErr w:type="spellEnd"/>
      <w:r>
        <w:rPr>
          <w:rFonts w:ascii="Arial" w:hAnsi="Arial" w:cs="Arial"/>
          <w:lang w:val="en-US"/>
        </w:rPr>
        <w:t xml:space="preserve"> Walker</w:t>
      </w:r>
      <w:r>
        <w:rPr>
          <w:rFonts w:ascii="Arial" w:hAnsi="Arial" w:cs="Arial"/>
          <w:vertAlign w:val="superscript"/>
          <w:lang w:val="en-US"/>
        </w:rPr>
        <w:t>1*</w:t>
      </w:r>
      <w:r>
        <w:rPr>
          <w:rFonts w:ascii="Arial" w:hAnsi="Arial" w:cs="Arial"/>
          <w:lang w:val="en-US"/>
        </w:rPr>
        <w:t>, Marianna Lucio</w:t>
      </w:r>
      <w:r>
        <w:rPr>
          <w:rFonts w:ascii="Arial" w:hAnsi="Arial" w:cs="Arial"/>
          <w:vertAlign w:val="superscript"/>
          <w:lang w:val="en-US"/>
        </w:rPr>
        <w:t>1</w:t>
      </w:r>
      <w:r>
        <w:rPr>
          <w:rFonts w:ascii="Arial" w:hAnsi="Arial" w:cs="Arial"/>
          <w:lang w:val="en-US"/>
        </w:rPr>
        <w:t>, Tanja V Maier</w:t>
      </w:r>
      <w:r>
        <w:rPr>
          <w:rFonts w:ascii="Arial" w:hAnsi="Arial" w:cs="Arial"/>
          <w:vertAlign w:val="superscript"/>
          <w:lang w:val="en-US"/>
        </w:rPr>
        <w:t>1</w:t>
      </w:r>
      <w:r>
        <w:rPr>
          <w:rFonts w:ascii="Arial" w:hAnsi="Arial" w:cs="Arial"/>
          <w:lang w:val="en-US"/>
        </w:rPr>
        <w:t>, Monika Bazanella</w:t>
      </w:r>
      <w:r>
        <w:rPr>
          <w:rFonts w:ascii="Arial" w:eastAsia="Calibri" w:hAnsi="Arial" w:cs="Arial"/>
          <w:vertAlign w:val="superscript"/>
          <w:lang w:val="en-US"/>
        </w:rPr>
        <w:t>3</w:t>
      </w:r>
      <w:r>
        <w:rPr>
          <w:rFonts w:ascii="Arial" w:hAnsi="Arial" w:cs="Arial"/>
          <w:lang w:val="en-US"/>
        </w:rPr>
        <w:t>, Michael Rychlik</w:t>
      </w:r>
      <w:r>
        <w:rPr>
          <w:rFonts w:ascii="Arial" w:hAnsi="Arial" w:cs="Arial"/>
          <w:vertAlign w:val="superscript"/>
          <w:lang w:val="en-US"/>
        </w:rPr>
        <w:t>4</w:t>
      </w:r>
      <w:r>
        <w:rPr>
          <w:rFonts w:ascii="Arial" w:hAnsi="Arial" w:cs="Arial"/>
          <w:lang w:val="en-US"/>
        </w:rPr>
        <w:t>, Dirk Haller</w:t>
      </w:r>
      <w:r>
        <w:rPr>
          <w:rFonts w:ascii="Arial" w:eastAsia="Calibri" w:hAnsi="Arial" w:cs="Arial"/>
          <w:vertAlign w:val="superscript"/>
          <w:lang w:val="en-US"/>
        </w:rPr>
        <w:t>2,3</w:t>
      </w:r>
      <w:r>
        <w:rPr>
          <w:rFonts w:ascii="Arial" w:hAnsi="Arial" w:cs="Arial"/>
          <w:lang w:val="en-US"/>
        </w:rPr>
        <w:t>, Philippe Schmitt-Kopplin</w:t>
      </w:r>
      <w:r>
        <w:rPr>
          <w:rFonts w:ascii="Arial" w:hAnsi="Arial" w:cs="Arial"/>
          <w:vertAlign w:val="superscript"/>
          <w:lang w:val="en-US"/>
        </w:rPr>
        <w:t>1,2,4</w:t>
      </w:r>
    </w:p>
    <w:p>
      <w:pPr>
        <w:spacing w:line="480" w:lineRule="auto"/>
        <w:rPr>
          <w:rFonts w:ascii="Arial" w:hAnsi="Arial" w:cs="Arial"/>
        </w:rPr>
      </w:pPr>
      <w:r>
        <w:rPr>
          <w:rFonts w:ascii="Arial" w:hAnsi="Arial" w:cs="Arial"/>
          <w:vertAlign w:val="superscript"/>
        </w:rPr>
        <w:t>1</w:t>
      </w:r>
      <w:r>
        <w:rPr>
          <w:rFonts w:ascii="Arial" w:hAnsi="Arial" w:cs="Arial"/>
        </w:rPr>
        <w:t xml:space="preserve">Research Unit Analytical </w:t>
      </w:r>
      <w:proofErr w:type="spellStart"/>
      <w:r>
        <w:rPr>
          <w:rFonts w:ascii="Arial" w:hAnsi="Arial" w:cs="Arial"/>
        </w:rPr>
        <w:t>BioGeoChemistry</w:t>
      </w:r>
      <w:proofErr w:type="spellEnd"/>
      <w:r>
        <w:rPr>
          <w:rFonts w:ascii="Arial" w:hAnsi="Arial" w:cs="Arial"/>
        </w:rPr>
        <w:t>, Helmholtz Zentrum München, Neuherberg, Germany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vertAlign w:val="superscript"/>
          <w:lang w:val="en-US"/>
        </w:rPr>
        <w:t>2</w:t>
      </w:r>
      <w:r>
        <w:rPr>
          <w:rFonts w:ascii="Arial" w:hAnsi="Arial" w:cs="Arial"/>
          <w:lang w:val="en-US"/>
        </w:rPr>
        <w:t xml:space="preserve">ZIEL Institute for Food and Health, Technical University of Munich, </w:t>
      </w:r>
      <w:proofErr w:type="spellStart"/>
      <w:r>
        <w:rPr>
          <w:rFonts w:ascii="Arial" w:hAnsi="Arial" w:cs="Arial"/>
          <w:lang w:val="en-US"/>
        </w:rPr>
        <w:t>Freising</w:t>
      </w:r>
      <w:proofErr w:type="spellEnd"/>
      <w:r>
        <w:rPr>
          <w:rFonts w:ascii="Arial" w:hAnsi="Arial" w:cs="Arial"/>
          <w:lang w:val="en-US"/>
        </w:rPr>
        <w:t>, Germany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vertAlign w:val="superscript"/>
          <w:lang w:val="en-US"/>
        </w:rPr>
        <w:t>3</w:t>
      </w:r>
      <w:r>
        <w:rPr>
          <w:rFonts w:ascii="Arial" w:hAnsi="Arial" w:cs="Arial"/>
          <w:lang w:val="en-US"/>
        </w:rPr>
        <w:t xml:space="preserve">Chair of Nutrition and Immunology, Technical University of Munich, </w:t>
      </w:r>
      <w:proofErr w:type="spellStart"/>
      <w:r>
        <w:rPr>
          <w:rFonts w:ascii="Arial" w:hAnsi="Arial" w:cs="Arial"/>
          <w:lang w:val="en-US"/>
        </w:rPr>
        <w:t>Freising</w:t>
      </w:r>
      <w:proofErr w:type="spellEnd"/>
      <w:r>
        <w:rPr>
          <w:rFonts w:ascii="Arial" w:hAnsi="Arial" w:cs="Arial"/>
          <w:lang w:val="en-US"/>
        </w:rPr>
        <w:t>, Germany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vertAlign w:val="superscript"/>
          <w:lang w:val="en-US"/>
        </w:rPr>
        <w:t>4</w:t>
      </w:r>
      <w:r>
        <w:rPr>
          <w:rFonts w:ascii="Arial" w:hAnsi="Arial" w:cs="Arial"/>
          <w:lang w:val="en-US"/>
        </w:rPr>
        <w:t xml:space="preserve">Chair of Analytical Food Chemistry, Technical University of Munich, </w:t>
      </w:r>
      <w:proofErr w:type="spellStart"/>
      <w:r>
        <w:rPr>
          <w:rFonts w:ascii="Arial" w:hAnsi="Arial" w:cs="Arial"/>
          <w:lang w:val="en-US"/>
        </w:rPr>
        <w:t>Freising</w:t>
      </w:r>
      <w:proofErr w:type="spellEnd"/>
      <w:r>
        <w:rPr>
          <w:rFonts w:ascii="Arial" w:hAnsi="Arial" w:cs="Arial"/>
          <w:lang w:val="en-US"/>
        </w:rPr>
        <w:t>, Germany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*Corresponding author</w:t>
      </w:r>
    </w:p>
    <w:p>
      <w:pPr>
        <w:spacing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E-Mail: </w:t>
      </w:r>
      <w:r>
        <w:rPr>
          <w:rStyle w:val="Hyperlink"/>
          <w:lang w:val="en-US"/>
        </w:rPr>
        <w:t>alesia.walker@helmholtz-muenchen.de</w:t>
      </w:r>
    </w:p>
    <w:p>
      <w:pPr>
        <w:spacing w:after="0" w:line="480" w:lineRule="auto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HelmholtzZentrum</w:t>
      </w:r>
      <w:proofErr w:type="spellEnd"/>
      <w:r>
        <w:rPr>
          <w:rFonts w:ascii="Arial" w:hAnsi="Arial" w:cs="Arial"/>
        </w:rPr>
        <w:t xml:space="preserve"> München</w:t>
      </w:r>
    </w:p>
    <w:p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</w:rPr>
        <w:t>Deutsches Forschungszentrum für Gesundheit und Umwelt</w:t>
      </w:r>
    </w:p>
    <w:p>
      <w:pPr>
        <w:spacing w:after="0"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Department of Environmental Sciences</w:t>
      </w:r>
    </w:p>
    <w:p>
      <w:pPr>
        <w:spacing w:after="0" w:line="480" w:lineRule="auto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Analytical </w:t>
      </w:r>
      <w:proofErr w:type="spellStart"/>
      <w:r>
        <w:rPr>
          <w:rFonts w:ascii="Arial" w:hAnsi="Arial" w:cs="Arial"/>
          <w:lang w:val="en-US"/>
        </w:rPr>
        <w:t>BioGeoChemistry</w:t>
      </w:r>
      <w:proofErr w:type="spellEnd"/>
    </w:p>
    <w:p>
      <w:pPr>
        <w:spacing w:after="0" w:line="480" w:lineRule="auto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Ingolstaedter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Landstrasse</w:t>
      </w:r>
      <w:proofErr w:type="spellEnd"/>
      <w:r>
        <w:rPr>
          <w:rFonts w:ascii="Arial" w:hAnsi="Arial" w:cs="Arial"/>
        </w:rPr>
        <w:t xml:space="preserve"> 1 </w:t>
      </w:r>
    </w:p>
    <w:p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85764 Neuherberg </w:t>
      </w:r>
    </w:p>
    <w:p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Germany </w:t>
      </w:r>
    </w:p>
    <w:p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</w:rPr>
        <w:t>Tel: +49 89 3187 4656</w:t>
      </w:r>
    </w:p>
    <w:p>
      <w:pPr>
        <w:spacing w:after="0" w:line="480" w:lineRule="auto"/>
        <w:rPr>
          <w:rFonts w:ascii="Arial" w:hAnsi="Arial" w:cs="Arial"/>
        </w:rPr>
      </w:pPr>
    </w:p>
    <w:p>
      <w:pPr>
        <w:spacing w:after="0" w:line="480" w:lineRule="auto"/>
        <w:rPr>
          <w:rFonts w:ascii="Arial" w:hAnsi="Arial" w:cs="Arial"/>
        </w:rPr>
      </w:pPr>
    </w:p>
    <w:p>
      <w:pPr>
        <w:spacing w:after="0" w:line="480" w:lineRule="auto"/>
        <w:rPr>
          <w:rFonts w:ascii="Arial" w:hAnsi="Arial" w:cs="Arial"/>
        </w:rPr>
      </w:pPr>
    </w:p>
    <w:p>
      <w:pPr>
        <w:spacing w:after="0" w:line="480" w:lineRule="auto"/>
        <w:rPr>
          <w:rFonts w:ascii="Arial" w:hAnsi="Arial" w:cs="Arial"/>
        </w:rPr>
      </w:pPr>
    </w:p>
    <w:p>
      <w:pPr>
        <w:rPr>
          <w:rFonts w:ascii="Arial" w:hAnsi="Arial" w:cs="Arial"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Supplementary figures</w:t>
      </w:r>
    </w:p>
    <w:p>
      <w:pPr>
        <w:spacing w:line="360" w:lineRule="auto"/>
        <w:jc w:val="center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noProof/>
          <w:lang w:val="en-US"/>
        </w:rPr>
        <w:drawing>
          <wp:inline distT="0" distB="0" distL="0" distR="0">
            <wp:extent cx="4916384" cy="4273883"/>
            <wp:effectExtent l="0" t="0" r="0" b="0"/>
            <wp:docPr id="9" name="Picture 9" descr="D:\Users\nina.sillner\Desktop\Töpfer paper\multilevel PLS-DA\ROC_curves_HILIC_R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nina.sillner\Desktop\Töpfer paper\multilevel PLS-DA\ROC_curves_HILIC_RP.tif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840" cy="427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lang w:val="en-US"/>
        </w:rPr>
        <w:t>Figure S1.</w:t>
      </w:r>
      <w:r>
        <w:rPr>
          <w:rFonts w:ascii="Arial" w:hAnsi="Arial" w:cs="Arial"/>
          <w:lang w:val="en-US"/>
        </w:rPr>
        <w:t xml:space="preserve"> ROC (Receiver Operating Characteristics) curves from the multilevel PLS-DA of (A) HILIC principle component 1, (B) HILIC principle component 2, (C) RP principle component 1 and (D) RP principle component 2 UHPLC-MS measurements (negative ionization mode). The area under the curves indicate a very good separation of breastfed (B) versus formula-fed (F- and F+) infants for both data sets in principle component 1 and 2. Less valid differences between F- and F+ were found in component 2.</w:t>
      </w:r>
    </w:p>
    <w:p>
      <w:pPr>
        <w:spacing w:line="360" w:lineRule="auto"/>
        <w:jc w:val="center"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4227616" cy="3291109"/>
            <wp:effectExtent l="0" t="0" r="1905" b="5080"/>
            <wp:docPr id="10" name="Picture 10" descr="D:\Users\nina.sillner\Desktop\Töpfer paper\new Amadoris\FruAcLys_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nina.sillner\Desktop\Töpfer paper\new Amadoris\FruAcLys_2.tif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974" cy="329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lang w:val="en-US"/>
        </w:rPr>
        <w:t>Figure S2.</w:t>
      </w:r>
      <w:r>
        <w:rPr>
          <w:rFonts w:ascii="Arial" w:hAnsi="Arial" w:cs="Arial"/>
          <w:lang w:val="en-US"/>
        </w:rPr>
        <w:t xml:space="preserve"> Collision induced dissociation MS/MS experiments (20 eV, positive ionization mode) of the putative </w:t>
      </w:r>
      <w:proofErr w:type="spellStart"/>
      <w:r>
        <w:rPr>
          <w:rFonts w:ascii="Arial" w:hAnsi="Arial" w:cs="Arial"/>
          <w:lang w:val="en-US"/>
        </w:rPr>
        <w:t>Amadori</w:t>
      </w:r>
      <w:proofErr w:type="spellEnd"/>
      <w:r>
        <w:rPr>
          <w:rFonts w:ascii="Arial" w:hAnsi="Arial" w:cs="Arial"/>
          <w:lang w:val="en-US"/>
        </w:rPr>
        <w:t xml:space="preserve"> product </w:t>
      </w:r>
      <w:proofErr w:type="spellStart"/>
      <w:r>
        <w:rPr>
          <w:rFonts w:ascii="Arial" w:hAnsi="Arial" w:cs="Arial"/>
          <w:lang w:val="en-US"/>
        </w:rPr>
        <w:t>FruAcLys</w:t>
      </w:r>
      <w:proofErr w:type="spellEnd"/>
      <w:r>
        <w:rPr>
          <w:rFonts w:ascii="Arial" w:hAnsi="Arial" w:cs="Arial"/>
          <w:lang w:val="en-US"/>
        </w:rPr>
        <w:t xml:space="preserve"> isomers with (A) retention time at 6.2 min and (B) 6.6 min, measured with HILIC UHPLC-MS, which were found to be significantly increased in formula-fed infants. (C) Overlaid extracted ion chromatograms of </w:t>
      </w:r>
      <w:proofErr w:type="spellStart"/>
      <w:r>
        <w:rPr>
          <w:rFonts w:ascii="Arial" w:hAnsi="Arial" w:cs="Arial"/>
          <w:lang w:val="en-US"/>
        </w:rPr>
        <w:t>FruAcLys</w:t>
      </w:r>
      <w:proofErr w:type="spellEnd"/>
      <w:r>
        <w:rPr>
          <w:rFonts w:ascii="Arial" w:hAnsi="Arial" w:cs="Arial"/>
          <w:lang w:val="en-US"/>
        </w:rPr>
        <w:t xml:space="preserve"> ([M+H]</w:t>
      </w:r>
      <w:r>
        <w:rPr>
          <w:rFonts w:ascii="Arial" w:hAnsi="Arial" w:cs="Arial"/>
          <w:vertAlign w:val="superscript"/>
          <w:lang w:val="en-US"/>
        </w:rPr>
        <w:t>+</w:t>
      </w:r>
      <w:r>
        <w:rPr>
          <w:rFonts w:ascii="Arial" w:hAnsi="Arial" w:cs="Arial"/>
          <w:lang w:val="en-US"/>
        </w:rPr>
        <w:t xml:space="preserve"> = 351.1762 ± 0.005 Da) in feces (black) and in a </w:t>
      </w:r>
      <w:r>
        <w:rPr>
          <w:rFonts w:ascii="Arial" w:hAnsi="Arial" w:cs="Arial"/>
          <w:szCs w:val="24"/>
          <w:lang w:val="en-US"/>
        </w:rPr>
        <w:t>model reaction mixture of L-lysine with glucose, heated for 1 h at 100 °C in water (blue).</w:t>
      </w:r>
    </w:p>
    <w:p>
      <w:pPr>
        <w:spacing w:line="360" w:lineRule="auto"/>
        <w:jc w:val="center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br w:type="page"/>
      </w:r>
    </w:p>
    <w:p>
      <w:pPr>
        <w:spacing w:line="360" w:lineRule="auto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noProof/>
          <w:lang w:val="en-US"/>
        </w:rPr>
        <w:lastRenderedPageBreak/>
        <w:drawing>
          <wp:inline distT="0" distB="0" distL="0" distR="0">
            <wp:extent cx="5731510" cy="1797772"/>
            <wp:effectExtent l="0" t="0" r="2540" b="0"/>
            <wp:docPr id="3" name="Grafik 3" descr="D:\20210325_FigS3_new_v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210325_FigS3_new_v1.tif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9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lang w:val="en-US"/>
        </w:rPr>
        <w:t>Figure S3.</w:t>
      </w:r>
      <w:r>
        <w:rPr>
          <w:rFonts w:ascii="Arial" w:hAnsi="Arial" w:cs="Arial"/>
          <w:lang w:val="en-US"/>
        </w:rPr>
        <w:t xml:space="preserve"> Profiles of the aromatic amino acids (A) tyrosine, (B) tryptophan and (C) phenylalanine in feces of breastfed (group B) and formula-fed infants without (group F-) or with probiotics (group F+) over time. </w:t>
      </w:r>
      <w:r>
        <w:rPr>
          <w:rFonts w:ascii="Arial" w:hAnsi="Arial" w:cs="Arial"/>
          <w:color w:val="000000"/>
          <w:lang w:val="en-US"/>
        </w:rPr>
        <w:t xml:space="preserve">Significance was calculated in each month between B, F- and F+ group using the </w:t>
      </w:r>
      <w:proofErr w:type="spellStart"/>
      <w:r>
        <w:rPr>
          <w:rFonts w:ascii="Arial" w:hAnsi="Arial" w:cs="Arial"/>
          <w:color w:val="000000"/>
          <w:lang w:val="en-US"/>
        </w:rPr>
        <w:t>Kruskal</w:t>
      </w:r>
      <w:proofErr w:type="spellEnd"/>
      <w:r>
        <w:rPr>
          <w:rFonts w:ascii="Arial" w:hAnsi="Arial" w:cs="Arial"/>
          <w:color w:val="000000"/>
          <w:lang w:val="en-US"/>
        </w:rPr>
        <w:t xml:space="preserve">-Wallis rank sum test. </w:t>
      </w:r>
      <w:proofErr w:type="gramStart"/>
      <w:r>
        <w:rPr>
          <w:rFonts w:ascii="Arial" w:hAnsi="Arial" w:cs="Arial"/>
          <w:color w:val="000000"/>
          <w:lang w:val="en-US"/>
        </w:rPr>
        <w:t>ns</w:t>
      </w:r>
      <w:proofErr w:type="gramEnd"/>
      <w:r>
        <w:rPr>
          <w:rFonts w:ascii="Arial" w:hAnsi="Arial" w:cs="Arial"/>
          <w:color w:val="000000"/>
          <w:lang w:val="en-US"/>
        </w:rPr>
        <w:t>: p &gt; 0.05, *: p ≤ 0.05, **: p ≤ 0.01, ***: p ≤ 0.001, ****: p ≤ 0.0001.</w:t>
      </w:r>
    </w:p>
    <w:p>
      <w:p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br w:type="page"/>
      </w:r>
    </w:p>
    <w:p>
      <w:pPr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5731510" cy="6640841"/>
            <wp:effectExtent l="0" t="0" r="2540" b="7620"/>
            <wp:docPr id="4" name="Grafik 4" descr="D:\20210406_FigS4_new_v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10406_FigS4_new_v1.tif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4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lang w:val="en-US"/>
        </w:rPr>
        <w:t>Figure S4</w:t>
      </w:r>
      <w:r>
        <w:rPr>
          <w:rFonts w:ascii="Arial" w:hAnsi="Arial" w:cs="Arial"/>
          <w:lang w:val="en-US"/>
        </w:rPr>
        <w:t xml:space="preserve">: (A) </w:t>
      </w:r>
      <w:proofErr w:type="spellStart"/>
      <w:r>
        <w:rPr>
          <w:rFonts w:ascii="Arial" w:hAnsi="Arial" w:cs="Arial"/>
          <w:lang w:val="en-US"/>
        </w:rPr>
        <w:t>Heatmap</w:t>
      </w:r>
      <w:proofErr w:type="spellEnd"/>
      <w:r>
        <w:rPr>
          <w:rFonts w:ascii="Arial" w:hAnsi="Arial" w:cs="Arial"/>
          <w:lang w:val="en-US"/>
        </w:rPr>
        <w:t xml:space="preserve"> of all 21 detected bile acids in feces of breastfed (B, blue) and formula-fed infants without (F-, orange) or with probiotics (F+, green) over time. Peak areas (RP-UHPLC-MS) were unit variance scaled. Scaled peak areas &gt; 2 were removed and displayed grey for better visualization. Bile acids which were altered due to the different diets (derived from multilevel PLS-DA) are marked purple. (B) Individual profiles of 17 bile acids detected in fecal samples of breastfed or formula milk fed infants. </w:t>
      </w:r>
      <w:r>
        <w:rPr>
          <w:rFonts w:ascii="Arial" w:hAnsi="Arial" w:cs="Arial"/>
          <w:color w:val="000000"/>
          <w:lang w:val="en-US"/>
        </w:rPr>
        <w:t xml:space="preserve">Significance was calculated in each month between B, F- and F+ group using the </w:t>
      </w:r>
      <w:proofErr w:type="spellStart"/>
      <w:r>
        <w:rPr>
          <w:rFonts w:ascii="Arial" w:hAnsi="Arial" w:cs="Arial"/>
          <w:color w:val="000000"/>
          <w:lang w:val="en-US"/>
        </w:rPr>
        <w:t>Kruskal</w:t>
      </w:r>
      <w:proofErr w:type="spellEnd"/>
      <w:r>
        <w:rPr>
          <w:rFonts w:ascii="Arial" w:hAnsi="Arial" w:cs="Arial"/>
          <w:color w:val="000000"/>
          <w:lang w:val="en-US"/>
        </w:rPr>
        <w:t xml:space="preserve">-Wallis rank sum test. </w:t>
      </w:r>
      <w:proofErr w:type="gramStart"/>
      <w:r>
        <w:rPr>
          <w:rFonts w:ascii="Arial" w:hAnsi="Arial" w:cs="Arial"/>
          <w:color w:val="000000"/>
          <w:lang w:val="en-US"/>
        </w:rPr>
        <w:t>ns</w:t>
      </w:r>
      <w:proofErr w:type="gramEnd"/>
      <w:r>
        <w:rPr>
          <w:rFonts w:ascii="Arial" w:hAnsi="Arial" w:cs="Arial"/>
          <w:color w:val="000000"/>
          <w:lang w:val="en-US"/>
        </w:rPr>
        <w:t>: p &gt; 0.05, *: p ≤ 0.05, **: p ≤ 0.01, ***: p ≤ 0.001, ****: p ≤ 0.0001.</w:t>
      </w:r>
    </w:p>
    <w:p>
      <w:pPr>
        <w:jc w:val="both"/>
        <w:rPr>
          <w:rFonts w:ascii="Arial" w:hAnsi="Arial" w:cs="Arial"/>
          <w:lang w:val="en-US"/>
        </w:rPr>
        <w:sectPr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5731510" cy="5682938"/>
            <wp:effectExtent l="0" t="0" r="2540" b="0"/>
            <wp:docPr id="2" name="Grafik 2" descr="D:\20210325_FigS4_new_v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210325_FigS4_new_v1.tif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8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lang w:val="en-US"/>
        </w:rPr>
        <w:t>Figure S5.</w:t>
      </w:r>
      <w:r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szCs w:val="24"/>
          <w:lang w:val="en-US"/>
        </w:rPr>
        <w:t xml:space="preserve">Representation of variables defined by the first two canonical variates from a </w:t>
      </w:r>
      <w:r>
        <w:rPr>
          <w:rFonts w:ascii="Arial" w:hAnsi="Arial" w:cs="Arial"/>
          <w:lang w:val="en-US"/>
        </w:rPr>
        <w:t>regularized canonical correlation analysis (</w:t>
      </w:r>
      <w:proofErr w:type="spellStart"/>
      <w:r>
        <w:rPr>
          <w:rFonts w:ascii="Arial" w:hAnsi="Arial" w:cs="Arial"/>
          <w:lang w:val="en-US"/>
        </w:rPr>
        <w:t>rCCA</w:t>
      </w:r>
      <w:proofErr w:type="spellEnd"/>
      <w:r>
        <w:rPr>
          <w:rFonts w:ascii="Arial" w:hAnsi="Arial" w:cs="Arial"/>
          <w:lang w:val="en-US"/>
        </w:rPr>
        <w:t xml:space="preserve">) of bile acids and OTU data from 16S </w:t>
      </w:r>
      <w:proofErr w:type="spellStart"/>
      <w:r>
        <w:rPr>
          <w:rFonts w:ascii="Arial" w:hAnsi="Arial" w:cs="Arial"/>
          <w:lang w:val="en-US"/>
        </w:rPr>
        <w:t>rRNA</w:t>
      </w:r>
      <w:proofErr w:type="spellEnd"/>
      <w:r>
        <w:rPr>
          <w:rFonts w:ascii="Arial" w:hAnsi="Arial" w:cs="Arial"/>
          <w:lang w:val="en-US"/>
        </w:rPr>
        <w:t xml:space="preserve"> sequencing detected in feces samples from all infants. Bile acids are colored in purple and OTUs in blue.</w:t>
      </w:r>
    </w:p>
    <w:p>
      <w:pPr>
        <w:rPr>
          <w:rFonts w:ascii="Arial" w:hAnsi="Arial" w:cs="Arial"/>
          <w:lang w:val="en-US"/>
        </w:rPr>
      </w:pPr>
    </w:p>
    <w:p>
      <w:pPr>
        <w:rPr>
          <w:rFonts w:ascii="Arial" w:hAnsi="Arial" w:cs="Arial"/>
          <w:lang w:val="en-US"/>
        </w:rPr>
        <w:sectPr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>
      <w:pPr>
        <w:spacing w:line="360" w:lineRule="auto"/>
        <w:jc w:val="center"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5731510" cy="1349352"/>
            <wp:effectExtent l="0" t="0" r="2540" b="3810"/>
            <wp:docPr id="17" name="Grafik 17" descr="A:\Daten\staff\Walker\Töpfer paper\Nina_Illustrator\FigS5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:\Daten\staff\Walker\Töpfer paper\Nina_Illustrator\FigS5_1.tif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49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b/>
          <w:lang w:val="en-US"/>
        </w:rPr>
        <w:t>Figure S6.</w:t>
      </w:r>
      <w:r>
        <w:rPr>
          <w:rFonts w:ascii="Arial" w:hAnsi="Arial" w:cs="Arial"/>
          <w:lang w:val="en-US"/>
        </w:rPr>
        <w:t xml:space="preserve"> Variable spaces of multiple co-inertia analysis to visualize inter- and intra-individual differences over time, separated for feeding groups; (A) breastfed (B), (B) formula-fed without probiotics (F-) and (C) formula-fed with probiotics (F+). Shapes and colors represent the different time points. </w:t>
      </w:r>
      <w:r>
        <w:rPr>
          <w:rFonts w:ascii="Arial" w:hAnsi="Arial" w:cs="Arial"/>
          <w:szCs w:val="24"/>
          <w:lang w:val="en-US"/>
        </w:rPr>
        <w:t>For group B only months 1 – 9 were taken into account because of a reduced number of available samples in later months due to weaning.</w:t>
      </w:r>
    </w:p>
    <w:p>
      <w:pPr>
        <w:spacing w:line="360" w:lineRule="auto"/>
        <w:jc w:val="both"/>
        <w:rPr>
          <w:rFonts w:ascii="Arial" w:hAnsi="Arial" w:cs="Arial"/>
          <w:szCs w:val="24"/>
          <w:lang w:val="en-US"/>
        </w:rPr>
      </w:pPr>
      <w:r>
        <w:rPr>
          <w:rFonts w:ascii="Arial" w:hAnsi="Arial" w:cs="Arial"/>
          <w:szCs w:val="24"/>
          <w:lang w:val="en-US"/>
        </w:rPr>
        <w:br w:type="page"/>
      </w:r>
    </w:p>
    <w:p>
      <w:pPr>
        <w:spacing w:line="360" w:lineRule="auto"/>
        <w:jc w:val="center"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2pt;height:136.2pt">
            <v:imagedata r:id="rId12" o:title="FigS6_1_20200827"/>
          </v:shape>
        </w:pict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bCs/>
          <w:lang w:val="en-US"/>
        </w:rPr>
        <w:t>Figure S7.</w:t>
      </w:r>
      <w:r>
        <w:rPr>
          <w:rFonts w:ascii="Arial" w:hAnsi="Arial" w:cs="Arial"/>
          <w:lang w:val="en-US"/>
        </w:rPr>
        <w:t xml:space="preserve"> Inter- and intra-individual profiles of three selected metabolites. (A) Increased value of </w:t>
      </w:r>
      <w:proofErr w:type="spellStart"/>
      <w:r>
        <w:rPr>
          <w:rFonts w:ascii="Arial" w:hAnsi="Arial" w:cs="Arial"/>
          <w:lang w:val="en-US"/>
        </w:rPr>
        <w:t>taurocholic</w:t>
      </w:r>
      <w:proofErr w:type="spellEnd"/>
      <w:r>
        <w:rPr>
          <w:rFonts w:ascii="Arial" w:hAnsi="Arial" w:cs="Arial"/>
          <w:lang w:val="en-US"/>
        </w:rPr>
        <w:t xml:space="preserve"> acid was found in infant 66 (breastfed) at month 7. (B) High amount of </w:t>
      </w:r>
      <w:proofErr w:type="spellStart"/>
      <w:r>
        <w:rPr>
          <w:rFonts w:ascii="Arial" w:hAnsi="Arial" w:cs="Arial"/>
          <w:lang w:val="en-US"/>
        </w:rPr>
        <w:t>hydroxydodecanoic</w:t>
      </w:r>
      <w:proofErr w:type="spellEnd"/>
      <w:r>
        <w:rPr>
          <w:rFonts w:ascii="Arial" w:hAnsi="Arial" w:cs="Arial"/>
          <w:lang w:val="en-US"/>
        </w:rPr>
        <w:t xml:space="preserve"> acid in infant 71 (F-) at month 9. (C) High signals of </w:t>
      </w:r>
      <w:proofErr w:type="spellStart"/>
      <w:r>
        <w:rPr>
          <w:rFonts w:ascii="Arial" w:hAnsi="Arial" w:cs="Arial"/>
          <w:lang w:val="en-US"/>
        </w:rPr>
        <w:t>cyclamic</w:t>
      </w:r>
      <w:proofErr w:type="spellEnd"/>
      <w:r>
        <w:rPr>
          <w:rFonts w:ascii="Arial" w:hAnsi="Arial" w:cs="Arial"/>
          <w:lang w:val="en-US"/>
        </w:rPr>
        <w:t xml:space="preserve"> acid were detected in infant 25 and 102 (both F+) at month 12.</w:t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</w:p>
    <w:p>
      <w:pPr>
        <w:spacing w:line="360" w:lineRule="auto"/>
        <w:jc w:val="both"/>
        <w:rPr>
          <w:rFonts w:ascii="Arial" w:hAnsi="Arial" w:cs="Arial"/>
          <w:lang w:val="en-US"/>
        </w:rPr>
        <w:sectPr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>
      <w:pPr>
        <w:spacing w:line="360" w:lineRule="auto"/>
        <w:jc w:val="center"/>
        <w:rPr>
          <w:rFonts w:ascii="Arial" w:hAnsi="Arial" w:cs="Arial"/>
          <w:lang w:val="en-US"/>
        </w:rPr>
      </w:pPr>
      <w:r>
        <w:rPr>
          <w:rFonts w:ascii="Arial" w:hAnsi="Arial" w:cs="Arial"/>
          <w:noProof/>
          <w:lang w:val="en-US"/>
        </w:rPr>
        <w:lastRenderedPageBreak/>
        <w:drawing>
          <wp:inline distT="0" distB="0" distL="0" distR="0">
            <wp:extent cx="5731510" cy="4743136"/>
            <wp:effectExtent l="0" t="0" r="2540" b="635"/>
            <wp:docPr id="1" name="Grafik 1" descr="D:\Users\alesia.walker\Desktop\FigS7_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alesia.walker\Desktop\FigS7_1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4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rPr>
          <w:rFonts w:ascii="Arial" w:hAnsi="Arial" w:cs="Arial"/>
          <w:lang w:val="en-US"/>
        </w:rPr>
      </w:pPr>
      <w:r>
        <w:rPr>
          <w:rFonts w:ascii="Arial" w:hAnsi="Arial" w:cs="Arial"/>
          <w:b/>
          <w:bCs/>
          <w:lang w:val="en-US"/>
        </w:rPr>
        <w:t>Figure S8.</w:t>
      </w:r>
      <w:r>
        <w:rPr>
          <w:rFonts w:ascii="Arial" w:hAnsi="Arial" w:cs="Arial"/>
          <w:lang w:val="en-US"/>
        </w:rPr>
        <w:t xml:space="preserve"> Loading plots of multiple co-inertia analysis of six short chain fatty acids (SCFAs) for breastfed (A), F- (B) and F+ (C), illustrating the dispersion of SCFAs over time. Lactic acid showed high inter- and intra-individual variability in all three groups. Butyric and propionic acid were also highly variable in F- and F+ infants.</w:t>
      </w:r>
    </w:p>
    <w:p>
      <w:pPr>
        <w:spacing w:line="360" w:lineRule="auto"/>
        <w:jc w:val="both"/>
        <w:rPr>
          <w:rFonts w:ascii="Arial" w:hAnsi="Arial" w:cs="Arial"/>
          <w:lang w:val="en-US"/>
        </w:rPr>
        <w:sectPr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>
      <w:pPr>
        <w:pStyle w:val="berschrift1"/>
        <w:rPr>
          <w:lang w:val="en-US"/>
        </w:rPr>
      </w:pPr>
      <w:r>
        <w:rPr>
          <w:lang w:val="en-US"/>
        </w:rPr>
        <w:lastRenderedPageBreak/>
        <w:t>Data availability</w:t>
      </w:r>
    </w:p>
    <w:p>
      <w:pPr>
        <w:spacing w:line="360" w:lineRule="auto"/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>Identification of RP LC-MS features on selected samples:</w:t>
      </w:r>
    </w:p>
    <w:p>
      <w:pPr>
        <w:spacing w:line="360" w:lineRule="auto"/>
        <w:jc w:val="both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A) 46 samples selected on ID match from 244 samples on RP (Figure 1A)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MSV000086026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B) Fatty acid matching (Figure 2A-C) by MS1 (±0.005Da) and retention time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MSV000086031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C) Bile acid matching (Figure 4A-C) by MS1 (±0.005Da) and retention time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MSV000086032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</w:p>
    <w:p>
      <w:pPr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br w:type="page"/>
      </w:r>
    </w:p>
    <w:p>
      <w:pPr>
        <w:spacing w:line="360" w:lineRule="auto"/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lastRenderedPageBreak/>
        <w:t>Identification of HILIC LC-MS features on all samples:</w:t>
      </w:r>
    </w:p>
    <w:p>
      <w:pPr>
        <w:spacing w:line="360" w:lineRule="auto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HILIC LC-MS/MS of 244 fecal samples (n=2 replicates), (Figure 1B, Figure 3C-E)</w:t>
      </w:r>
    </w:p>
    <w:p>
      <w:pPr>
        <w:spacing w:line="360" w:lineRule="auto"/>
        <w:jc w:val="both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10 eV and 35 eV</w:t>
      </w:r>
    </w:p>
    <w:p>
      <w:pPr>
        <w:spacing w:line="360" w:lineRule="auto"/>
        <w:jc w:val="both"/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 xml:space="preserve">Part I: 1_HILIC LC MS_MS of 244 fecal samples of </w:t>
      </w:r>
      <w:proofErr w:type="spellStart"/>
      <w:r>
        <w:rPr>
          <w:rFonts w:ascii="Arial" w:hAnsi="Arial" w:cs="Arial"/>
          <w:b/>
          <w:sz w:val="20"/>
          <w:lang w:val="en-US"/>
        </w:rPr>
        <w:t>infants_part</w:t>
      </w:r>
      <w:proofErr w:type="spellEnd"/>
      <w:r>
        <w:rPr>
          <w:rFonts w:ascii="Arial" w:hAnsi="Arial" w:cs="Arial"/>
          <w:b/>
          <w:sz w:val="20"/>
          <w:lang w:val="en-US"/>
        </w:rPr>
        <w:t xml:space="preserve"> I - 10 eV</w:t>
      </w:r>
    </w:p>
    <w:p>
      <w:pPr>
        <w:spacing w:line="360" w:lineRule="auto"/>
        <w:jc w:val="both"/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MSV000086028</w:t>
      </w:r>
    </w:p>
    <w:p>
      <w:pPr>
        <w:spacing w:line="360" w:lineRule="auto"/>
        <w:jc w:val="both"/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 xml:space="preserve">Part II: 1_HILIC LC MS_MS of 244 fecal samples of </w:t>
      </w:r>
      <w:proofErr w:type="spellStart"/>
      <w:r>
        <w:rPr>
          <w:rFonts w:ascii="Arial" w:hAnsi="Arial" w:cs="Arial"/>
          <w:b/>
          <w:sz w:val="20"/>
          <w:lang w:val="en-US"/>
        </w:rPr>
        <w:t>infants_part</w:t>
      </w:r>
      <w:proofErr w:type="spellEnd"/>
      <w:r>
        <w:rPr>
          <w:rFonts w:ascii="Arial" w:hAnsi="Arial" w:cs="Arial"/>
          <w:b/>
          <w:sz w:val="20"/>
          <w:lang w:val="en-US"/>
        </w:rPr>
        <w:t xml:space="preserve"> II - 35 eV</w:t>
      </w:r>
    </w:p>
    <w:p>
      <w:pPr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MSV000086029</w:t>
      </w:r>
    </w:p>
    <w:p>
      <w:pPr>
        <w:spacing w:line="360" w:lineRule="auto"/>
        <w:jc w:val="both"/>
        <w:rPr>
          <w:rFonts w:ascii="Arial" w:hAnsi="Arial" w:cs="Arial"/>
          <w:b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>Data for the elaboration of human milk oligosaccharides in feces of infants and breast milk samples (Figure 2D)</w:t>
      </w:r>
    </w:p>
    <w:p>
      <w:pPr>
        <w:spacing w:line="360" w:lineRule="auto"/>
        <w:jc w:val="both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sz w:val="20"/>
          <w:lang w:val="en-US"/>
        </w:rPr>
        <w:t>2_HILIC LC_MS_MS of infant fecal samples and breast milk samples for analysis of HMOs_v1</w:t>
      </w:r>
    </w:p>
    <w:p>
      <w:pPr>
        <w:spacing w:line="360" w:lineRule="auto"/>
        <w:jc w:val="both"/>
        <w:rPr>
          <w:rFonts w:ascii="Arial" w:hAnsi="Arial" w:cs="Arial"/>
          <w:sz w:val="20"/>
          <w:lang w:val="en-US"/>
        </w:rPr>
      </w:pPr>
      <w:proofErr w:type="spellStart"/>
      <w:r>
        <w:rPr>
          <w:rFonts w:ascii="Arial" w:hAnsi="Arial" w:cs="Arial"/>
          <w:sz w:val="20"/>
          <w:lang w:val="en-US"/>
        </w:rPr>
        <w:t>MassIVE</w:t>
      </w:r>
      <w:proofErr w:type="spellEnd"/>
      <w:r>
        <w:rPr>
          <w:rFonts w:ascii="Arial" w:hAnsi="Arial" w:cs="Arial"/>
          <w:sz w:val="20"/>
          <w:lang w:val="en-US"/>
        </w:rPr>
        <w:t xml:space="preserve"> MSV000086030</w:t>
      </w:r>
    </w:p>
    <w:p>
      <w:pPr>
        <w:spacing w:line="36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>
      <w:pPr>
        <w:spacing w:line="360" w:lineRule="auto"/>
        <w:jc w:val="both"/>
        <w:rPr>
          <w:rFonts w:ascii="Arial" w:hAnsi="Arial" w:cs="Arial"/>
          <w:sz w:val="20"/>
          <w:szCs w:val="20"/>
          <w:lang w:val="en-US"/>
        </w:rPr>
        <w:sectPr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>
      <w:pPr>
        <w:spacing w:line="360" w:lineRule="auto"/>
        <w:jc w:val="both"/>
        <w:rPr>
          <w:rFonts w:ascii="Arial" w:hAnsi="Arial" w:cs="Arial"/>
          <w:b/>
          <w:sz w:val="24"/>
          <w:szCs w:val="20"/>
          <w:lang w:val="en-US"/>
        </w:rPr>
      </w:pPr>
      <w:r>
        <w:rPr>
          <w:rFonts w:ascii="Arial" w:hAnsi="Arial" w:cs="Arial"/>
          <w:b/>
          <w:sz w:val="24"/>
          <w:szCs w:val="20"/>
          <w:lang w:val="en-US"/>
        </w:rPr>
        <w:lastRenderedPageBreak/>
        <w:t>MS/MS of diverse Metabolites (add single annotated Bronze spectrum function)</w:t>
      </w:r>
    </w:p>
    <w:p>
      <w:pPr>
        <w:spacing w:line="360" w:lineRule="auto"/>
        <w:rPr>
          <w:rFonts w:ascii="Arial" w:hAnsi="Arial" w:cs="Arial"/>
          <w:b/>
          <w:sz w:val="20"/>
          <w:szCs w:val="20"/>
          <w:lang w:val="en-US"/>
        </w:rPr>
      </w:pPr>
      <w:proofErr w:type="spellStart"/>
      <w:r>
        <w:rPr>
          <w:rFonts w:ascii="Arial" w:hAnsi="Arial" w:cs="Arial"/>
          <w:b/>
          <w:sz w:val="20"/>
          <w:szCs w:val="20"/>
          <w:lang w:val="en-US"/>
        </w:rPr>
        <w:t>Amadori</w:t>
      </w:r>
      <w:proofErr w:type="spellEnd"/>
      <w:r>
        <w:rPr>
          <w:rFonts w:ascii="Arial" w:hAnsi="Arial" w:cs="Arial"/>
          <w:b/>
          <w:sz w:val="20"/>
          <w:szCs w:val="20"/>
          <w:lang w:val="en-US"/>
        </w:rPr>
        <w:t xml:space="preserve"> Products</w:t>
      </w:r>
    </w:p>
    <w:p>
      <w:pPr>
        <w:spacing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proofErr w:type="spellStart"/>
      <w:r>
        <w:rPr>
          <w:rFonts w:ascii="Arial" w:hAnsi="Arial" w:cs="Arial"/>
          <w:sz w:val="18"/>
          <w:szCs w:val="18"/>
          <w:lang w:val="en-US"/>
        </w:rPr>
        <w:t>MetAla-Glc</w:t>
      </w:r>
      <w:proofErr w:type="spellEnd"/>
      <w:r>
        <w:rPr>
          <w:rFonts w:ascii="Arial" w:hAnsi="Arial" w:cs="Arial"/>
          <w:sz w:val="18"/>
          <w:szCs w:val="18"/>
          <w:lang w:val="en-US"/>
        </w:rPr>
        <w:t xml:space="preserve"> </w:t>
      </w:r>
      <w:proofErr w:type="gramStart"/>
      <w:r>
        <w:rPr>
          <w:rFonts w:ascii="Arial" w:hAnsi="Arial" w:cs="Arial"/>
          <w:sz w:val="18"/>
          <w:szCs w:val="18"/>
          <w:lang w:val="en-US"/>
        </w:rPr>
        <w:t>( CCMSLIB00005724018</w:t>
      </w:r>
      <w:proofErr w:type="gramEnd"/>
      <w:r>
        <w:rPr>
          <w:rFonts w:ascii="Arial" w:hAnsi="Arial" w:cs="Arial"/>
          <w:sz w:val="18"/>
          <w:szCs w:val="18"/>
          <w:lang w:val="en-US"/>
        </w:rPr>
        <w:t>)</w:t>
      </w:r>
    </w:p>
    <w:p>
      <w:pPr>
        <w:spacing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proofErr w:type="spellStart"/>
      <w:r>
        <w:rPr>
          <w:rFonts w:ascii="Arial" w:hAnsi="Arial" w:cs="Arial"/>
          <w:sz w:val="18"/>
          <w:szCs w:val="18"/>
          <w:lang w:val="en-US"/>
        </w:rPr>
        <w:t>FruAcLys</w:t>
      </w:r>
      <w:proofErr w:type="spellEnd"/>
      <w:r>
        <w:rPr>
          <w:rFonts w:ascii="Arial" w:hAnsi="Arial" w:cs="Arial"/>
          <w:sz w:val="18"/>
          <w:szCs w:val="18"/>
          <w:lang w:val="en-US"/>
        </w:rPr>
        <w:t xml:space="preserve"> (2 Clusters – isomers)</w:t>
      </w:r>
    </w:p>
    <w:p>
      <w:pPr>
        <w:spacing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proofErr w:type="gramStart"/>
      <w:r>
        <w:rPr>
          <w:rFonts w:ascii="Arial" w:hAnsi="Arial" w:cs="Arial"/>
          <w:sz w:val="18"/>
          <w:szCs w:val="18"/>
          <w:lang w:val="en-US"/>
        </w:rPr>
        <w:t>α-</w:t>
      </w:r>
      <w:proofErr w:type="spellStart"/>
      <w:r>
        <w:rPr>
          <w:rFonts w:ascii="Arial" w:hAnsi="Arial" w:cs="Arial"/>
          <w:sz w:val="18"/>
          <w:szCs w:val="18"/>
          <w:lang w:val="en-US"/>
        </w:rPr>
        <w:t>acetyllysine</w:t>
      </w:r>
      <w:proofErr w:type="spellEnd"/>
      <w:proofErr w:type="gramEnd"/>
      <w:r>
        <w:rPr>
          <w:rFonts w:ascii="Arial" w:hAnsi="Arial" w:cs="Arial"/>
          <w:sz w:val="18"/>
          <w:szCs w:val="18"/>
          <w:lang w:val="en-US"/>
        </w:rPr>
        <w:t xml:space="preserve">; </w:t>
      </w:r>
      <w:proofErr w:type="spellStart"/>
      <w:r>
        <w:rPr>
          <w:rFonts w:ascii="Arial" w:hAnsi="Arial" w:cs="Arial"/>
          <w:sz w:val="18"/>
          <w:szCs w:val="18"/>
          <w:lang w:val="en-US"/>
        </w:rPr>
        <w:t>FruAcLys</w:t>
      </w:r>
      <w:proofErr w:type="spellEnd"/>
      <w:r>
        <w:rPr>
          <w:rFonts w:ascii="Arial" w:hAnsi="Arial" w:cs="Arial"/>
          <w:sz w:val="18"/>
          <w:szCs w:val="18"/>
          <w:lang w:val="en-US"/>
        </w:rPr>
        <w:t xml:space="preserve"> - Cluster_10927:</w:t>
      </w:r>
    </w:p>
    <w:p>
      <w:pPr>
        <w:spacing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r>
        <w:rPr>
          <w:rFonts w:ascii="Arial" w:hAnsi="Arial" w:cs="Arial"/>
          <w:sz w:val="18"/>
          <w:szCs w:val="18"/>
          <w:lang w:val="en-US"/>
        </w:rPr>
        <w:t>FruAcLys_RT6.2_1818_isomer1: (CCMSLIB00005724023)</w:t>
      </w:r>
    </w:p>
    <w:p>
      <w:pPr>
        <w:spacing w:line="360" w:lineRule="auto"/>
        <w:jc w:val="both"/>
        <w:rPr>
          <w:rFonts w:ascii="Arial" w:hAnsi="Arial" w:cs="Arial"/>
          <w:sz w:val="18"/>
          <w:szCs w:val="18"/>
          <w:lang w:val="en-US"/>
        </w:rPr>
      </w:pPr>
      <w:proofErr w:type="gramStart"/>
      <w:r>
        <w:rPr>
          <w:rFonts w:ascii="Arial" w:hAnsi="Arial" w:cs="Arial"/>
          <w:sz w:val="18"/>
          <w:szCs w:val="18"/>
          <w:lang w:val="en-US"/>
        </w:rPr>
        <w:t>ε-</w:t>
      </w:r>
      <w:proofErr w:type="spellStart"/>
      <w:r>
        <w:rPr>
          <w:rFonts w:ascii="Arial" w:hAnsi="Arial" w:cs="Arial"/>
          <w:sz w:val="18"/>
          <w:szCs w:val="18"/>
          <w:lang w:val="en-US"/>
        </w:rPr>
        <w:t>acetyllysine</w:t>
      </w:r>
      <w:proofErr w:type="spellEnd"/>
      <w:proofErr w:type="gramEnd"/>
      <w:r>
        <w:rPr>
          <w:rFonts w:ascii="Arial" w:hAnsi="Arial" w:cs="Arial"/>
          <w:sz w:val="18"/>
          <w:szCs w:val="18"/>
          <w:lang w:val="en-US"/>
        </w:rPr>
        <w:t xml:space="preserve">; </w:t>
      </w:r>
      <w:proofErr w:type="spellStart"/>
      <w:r>
        <w:rPr>
          <w:rFonts w:ascii="Arial" w:hAnsi="Arial" w:cs="Arial"/>
          <w:sz w:val="18"/>
          <w:szCs w:val="18"/>
          <w:lang w:val="en-US"/>
        </w:rPr>
        <w:t>FruAcLys</w:t>
      </w:r>
      <w:proofErr w:type="spellEnd"/>
      <w:r>
        <w:rPr>
          <w:rFonts w:ascii="Arial" w:hAnsi="Arial" w:cs="Arial"/>
          <w:sz w:val="18"/>
          <w:szCs w:val="18"/>
          <w:lang w:val="en-US"/>
        </w:rPr>
        <w:t xml:space="preserve"> - Cluster_10929: </w:t>
      </w:r>
    </w:p>
    <w:p>
      <w:pPr>
        <w:spacing w:line="36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sz w:val="18"/>
          <w:szCs w:val="18"/>
          <w:lang w:val="en-US"/>
        </w:rPr>
        <w:t>FruAcLys_RT6.6_1943_isomer2: (CCMSLIB00005724021)</w:t>
      </w:r>
    </w:p>
    <w:p>
      <w:pPr>
        <w:spacing w:line="36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b/>
          <w:sz w:val="20"/>
          <w:szCs w:val="20"/>
          <w:lang w:val="en-US"/>
        </w:rPr>
        <w:t>Bile acids identification – sulfate conjugates</w:t>
      </w:r>
    </w:p>
    <w:p>
      <w:pPr>
        <w:spacing w:line="360" w:lineRule="auto"/>
        <w:jc w:val="both"/>
        <w:rPr>
          <w:rFonts w:ascii="Arial" w:hAnsi="Arial" w:cs="Arial"/>
          <w:sz w:val="18"/>
          <w:szCs w:val="24"/>
          <w:lang w:val="en-US"/>
        </w:rPr>
      </w:pPr>
      <w:r>
        <w:rPr>
          <w:rFonts w:ascii="Arial" w:hAnsi="Arial" w:cs="Arial"/>
          <w:sz w:val="18"/>
          <w:szCs w:val="24"/>
          <w:lang w:val="en-US"/>
        </w:rPr>
        <w:t>UDCA-S (CCMSLIB00005720321)</w:t>
      </w:r>
    </w:p>
    <w:p>
      <w:pPr>
        <w:spacing w:line="360" w:lineRule="auto"/>
        <w:jc w:val="both"/>
        <w:rPr>
          <w:rFonts w:ascii="Arial" w:hAnsi="Arial" w:cs="Arial"/>
          <w:sz w:val="18"/>
          <w:szCs w:val="24"/>
          <w:lang w:val="en-US"/>
        </w:rPr>
      </w:pPr>
      <w:r>
        <w:rPr>
          <w:rFonts w:ascii="Arial" w:hAnsi="Arial" w:cs="Arial"/>
          <w:sz w:val="18"/>
          <w:szCs w:val="24"/>
          <w:lang w:val="en-US"/>
        </w:rPr>
        <w:t>LCA-S (CCMSLIB00005720905)</w:t>
      </w:r>
    </w:p>
    <w:p>
      <w:pPr>
        <w:spacing w:line="360" w:lineRule="auto"/>
        <w:jc w:val="both"/>
        <w:rPr>
          <w:rFonts w:ascii="Arial" w:hAnsi="Arial" w:cs="Arial"/>
          <w:sz w:val="18"/>
          <w:szCs w:val="24"/>
          <w:lang w:val="en-US"/>
        </w:rPr>
      </w:pPr>
      <w:r>
        <w:rPr>
          <w:rFonts w:ascii="Arial" w:hAnsi="Arial" w:cs="Arial"/>
          <w:sz w:val="18"/>
          <w:szCs w:val="24"/>
          <w:lang w:val="en-US"/>
        </w:rPr>
        <w:t>CDCA-S (CCMSLIB00005723982)</w:t>
      </w:r>
    </w:p>
    <w:p>
      <w:pPr>
        <w:spacing w:line="360" w:lineRule="auto"/>
        <w:jc w:val="both"/>
        <w:rPr>
          <w:rFonts w:ascii="Arial" w:hAnsi="Arial" w:cs="Arial"/>
          <w:sz w:val="18"/>
          <w:szCs w:val="24"/>
          <w:lang w:val="en-US"/>
        </w:rPr>
      </w:pPr>
      <w:r>
        <w:rPr>
          <w:rFonts w:ascii="Arial" w:hAnsi="Arial" w:cs="Arial"/>
          <w:sz w:val="18"/>
          <w:szCs w:val="24"/>
          <w:lang w:val="en-US"/>
        </w:rPr>
        <w:t>CA-S (CCMSLIB00005724014)</w:t>
      </w:r>
    </w:p>
    <w:bookmarkEnd w:id="0"/>
    <w:p>
      <w:pPr>
        <w:spacing w:line="360" w:lineRule="auto"/>
        <w:jc w:val="both"/>
        <w:rPr>
          <w:rFonts w:ascii="Arial" w:hAnsi="Arial" w:cs="Arial"/>
          <w:b/>
          <w:sz w:val="20"/>
          <w:szCs w:val="20"/>
          <w:lang w:val="en-US"/>
        </w:rPr>
      </w:pPr>
    </w:p>
    <w:sectPr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altName w:val="Microsoft Sans Serif"/>
    <w:panose1 w:val="020B0304020202020204"/>
    <w:charset w:val="00"/>
    <w:family w:val="swiss"/>
    <w:pitch w:val="variable"/>
    <w:sig w:usb0="00000000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ngsana New">
    <w:altName w:val="Leelawadee UI"/>
    <w:panose1 w:val="02020603050405020304"/>
    <w:charset w:val="00"/>
    <w:family w:val="roman"/>
    <w:pitch w:val="variable"/>
    <w:sig w:usb0="00000000" w:usb1="00000000" w:usb2="00000000" w:usb3="00000000" w:csb0="00010001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461640"/>
    <w:multiLevelType w:val="hybridMultilevel"/>
    <w:tmpl w:val="B810F4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915E07"/>
    <w:multiLevelType w:val="hybridMultilevel"/>
    <w:tmpl w:val="E5E88FD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3695F3C"/>
    <w:multiLevelType w:val="hybridMultilevel"/>
    <w:tmpl w:val="2384FFD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BE3D16"/>
    <w:multiLevelType w:val="hybridMultilevel"/>
    <w:tmpl w:val="3208B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F00417"/>
    <w:multiLevelType w:val="hybridMultilevel"/>
    <w:tmpl w:val="27D8F872"/>
    <w:lvl w:ilvl="0" w:tplc="F5D820B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US" w:vendorID="64" w:dllVersion="131078" w:nlCheck="1" w:checkStyle="1"/>
  <w:activeWritingStyle w:appName="MSWord" w:lang="de-DE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358892B1-44B8-45FA-9E1F-903075A6A0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before="240" w:after="100" w:afterAutospacing="1"/>
      <w:outlineLvl w:val="0"/>
    </w:pPr>
    <w:rPr>
      <w:rFonts w:ascii="Arial" w:eastAsiaTheme="majorEastAsia" w:hAnsi="Arial" w:cstheme="majorBidi"/>
      <w:b/>
      <w:sz w:val="28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Pr>
      <w:rFonts w:ascii="Segoe UI" w:hAnsi="Segoe UI" w:cs="Segoe UI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Pr>
      <w:color w:val="0563C1" w:themeColor="hyperlink"/>
      <w:u w:val="single"/>
    </w:rPr>
  </w:style>
  <w:style w:type="character" w:styleId="Zeilennummer">
    <w:name w:val="line number"/>
    <w:basedOn w:val="Absatz-Standardschriftart"/>
    <w:uiPriority w:val="99"/>
    <w:semiHidden/>
    <w:unhideWhenUsed/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Theme="majorEastAsia" w:hAnsi="Arial" w:cstheme="majorBidi"/>
      <w:b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375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tiff"/><Relationship Id="rId4" Type="http://schemas.openxmlformats.org/officeDocument/2006/relationships/settings" Target="settings.xml"/><Relationship Id="rId9" Type="http://schemas.openxmlformats.org/officeDocument/2006/relationships/image" Target="media/image4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EA54CE-95EB-4662-9D7F-B3213D0854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878</Words>
  <Characters>5007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Helmholtz Zentrum München</Company>
  <LinksUpToDate>false</LinksUpToDate>
  <CharactersWithSpaces>5874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nina.sillner</dc:creator>
  <cp:keywords/>
  <dc:description/>
  <cp:lastModifiedBy>Walker, Alesia, Dr.</cp:lastModifiedBy>
  <cp:revision>5</cp:revision>
  <cp:lastPrinted>2020-05-23T14:22:00Z</cp:lastPrinted>
  <dcterms:created xsi:type="dcterms:W3CDTF">2021-05-11T08:27:00Z</dcterms:created>
  <dcterms:modified xsi:type="dcterms:W3CDTF">2021-05-20T17:30:00Z</dcterms:modified>
</cp:coreProperties>
</file>